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A43A" w14:textId="77777777" w:rsidR="00AA18B9" w:rsidRPr="003D103B" w:rsidRDefault="00AA18B9" w:rsidP="00AA18B9">
      <w:pPr>
        <w:jc w:val="center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>Pentecostes e a visão do Esp</w:t>
      </w:r>
      <w:r>
        <w:rPr>
          <w:rFonts w:ascii="Times New Roman" w:hAnsi="Times New Roman" w:cs="Times New Roman"/>
        </w:rPr>
        <w:t>í</w:t>
      </w:r>
      <w:r w:rsidRPr="003D103B">
        <w:rPr>
          <w:rFonts w:ascii="Times New Roman" w:hAnsi="Times New Roman" w:cs="Times New Roman"/>
        </w:rPr>
        <w:t>rito Santo em São Basílio de Cesaréia</w:t>
      </w:r>
    </w:p>
    <w:p w14:paraId="51161312" w14:textId="77777777" w:rsidR="00AA18B9" w:rsidRPr="003D103B" w:rsidRDefault="00AA18B9" w:rsidP="00AA18B9">
      <w:pPr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ab/>
        <w:t>Por Dom Vital Corbellini, Bispo de Marabá – PA.</w:t>
      </w:r>
    </w:p>
    <w:p w14:paraId="56E676C0" w14:textId="3065E1BE" w:rsidR="00AA18B9" w:rsidRPr="003D103B" w:rsidRDefault="00AA18B9" w:rsidP="00AA18B9">
      <w:pPr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ab/>
        <w:t xml:space="preserve">Nós estamos próximos de Pentecostes, a solenidade na vida eclesial, </w:t>
      </w:r>
      <w:r w:rsidR="007E1AEC">
        <w:rPr>
          <w:rFonts w:ascii="Times New Roman" w:hAnsi="Times New Roman" w:cs="Times New Roman"/>
        </w:rPr>
        <w:t xml:space="preserve">espiritual, </w:t>
      </w:r>
      <w:r w:rsidRPr="003D103B">
        <w:rPr>
          <w:rFonts w:ascii="Times New Roman" w:hAnsi="Times New Roman" w:cs="Times New Roman"/>
        </w:rPr>
        <w:t>religiosa nas quais nós comemoramos a vinda do Espírito Santo sobre os Apóstolos com Maria Santíssima no Cenáculo. Pentecostes foi o grande acontecimento salvífico que marcou a vida da Igreja fazendo os apóstolos</w:t>
      </w:r>
      <w:r>
        <w:rPr>
          <w:rFonts w:ascii="Times New Roman" w:hAnsi="Times New Roman" w:cs="Times New Roman"/>
        </w:rPr>
        <w:t xml:space="preserve">, testemunhas </w:t>
      </w:r>
      <w:r w:rsidRPr="003D103B">
        <w:rPr>
          <w:rFonts w:ascii="Times New Roman" w:hAnsi="Times New Roman" w:cs="Times New Roman"/>
        </w:rPr>
        <w:t>dign</w:t>
      </w:r>
      <w:r>
        <w:rPr>
          <w:rFonts w:ascii="Times New Roman" w:hAnsi="Times New Roman" w:cs="Times New Roman"/>
        </w:rPr>
        <w:t>a</w:t>
      </w:r>
      <w:r w:rsidRPr="003D103B">
        <w:rPr>
          <w:rFonts w:ascii="Times New Roman" w:hAnsi="Times New Roman" w:cs="Times New Roman"/>
        </w:rPr>
        <w:t>s de serem os discípulos missionários de Jesus Cristo na Obra d</w:t>
      </w:r>
      <w:r w:rsidR="00E430E4">
        <w:rPr>
          <w:rFonts w:ascii="Times New Roman" w:hAnsi="Times New Roman" w:cs="Times New Roman"/>
        </w:rPr>
        <w:t>a redenção</w:t>
      </w:r>
      <w:r w:rsidRPr="003D10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pelo mundo, </w:t>
      </w:r>
      <w:r w:rsidRPr="003D103B">
        <w:rPr>
          <w:rFonts w:ascii="Times New Roman" w:hAnsi="Times New Roman" w:cs="Times New Roman"/>
        </w:rPr>
        <w:t xml:space="preserve">proveniente do Pai. </w:t>
      </w:r>
      <w:r>
        <w:rPr>
          <w:rFonts w:ascii="Times New Roman" w:hAnsi="Times New Roman" w:cs="Times New Roman"/>
        </w:rPr>
        <w:t>Na realidade atual, n</w:t>
      </w:r>
      <w:r w:rsidRPr="003D103B">
        <w:rPr>
          <w:rFonts w:ascii="Times New Roman" w:hAnsi="Times New Roman" w:cs="Times New Roman"/>
        </w:rPr>
        <w:t xml:space="preserve">ós almejamos um Novo Pentecostes para que a paz e o amor reinem nos corações das pessoas e dos povos, em vista de uma vida </w:t>
      </w:r>
      <w:r w:rsidR="00677568">
        <w:rPr>
          <w:rFonts w:ascii="Times New Roman" w:hAnsi="Times New Roman" w:cs="Times New Roman"/>
        </w:rPr>
        <w:t xml:space="preserve">humana </w:t>
      </w:r>
      <w:r w:rsidRPr="003D103B">
        <w:rPr>
          <w:rFonts w:ascii="Times New Roman" w:hAnsi="Times New Roman" w:cs="Times New Roman"/>
        </w:rPr>
        <w:t xml:space="preserve">conforme o plano do Senhor. Nós veremos a seguir a visão de São Basílio a respeito do Espírito Santo, a sua Pessoa e os dons que Ele concede à humanidade. </w:t>
      </w:r>
    </w:p>
    <w:p w14:paraId="62667C17" w14:textId="77777777" w:rsidR="00AA18B9" w:rsidRPr="003D103B" w:rsidRDefault="00AA18B9" w:rsidP="00AA18B9">
      <w:pPr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ab/>
        <w:t>As noções do Espírito Santo a partir das Escrituras</w:t>
      </w:r>
      <w:r>
        <w:rPr>
          <w:rFonts w:ascii="Times New Roman" w:hAnsi="Times New Roman" w:cs="Times New Roman"/>
        </w:rPr>
        <w:t>.</w:t>
      </w:r>
    </w:p>
    <w:p w14:paraId="10B35E1E" w14:textId="78ED4A81" w:rsidR="00AA18B9" w:rsidRPr="003D103B" w:rsidRDefault="00AA18B9" w:rsidP="00AA18B9">
      <w:pPr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ab/>
        <w:t>O Espírito Santo recebe os nomes de Espírito de Deus, o Espírito da Verdade, que vem do Pai (Jo 15,26). Ele é também conhecido como Espírito reto, Espírito principal (Sl 50, 12-14). Segundo São Basílio, é o Espírito Santo o seu nome próprio, Ele é o ser incorpóreo, inteiramente imaterial e simples</w:t>
      </w:r>
      <w:r w:rsidRPr="003D103B">
        <w:rPr>
          <w:rStyle w:val="Refdenotaderodap"/>
          <w:rFonts w:ascii="Times New Roman" w:hAnsi="Times New Roman" w:cs="Times New Roman"/>
        </w:rPr>
        <w:footnoteReference w:id="1"/>
      </w:r>
      <w:r w:rsidRPr="003D103B">
        <w:rPr>
          <w:rFonts w:ascii="Times New Roman" w:hAnsi="Times New Roman" w:cs="Times New Roman"/>
        </w:rPr>
        <w:t>. A natureza humana tem estas noções em relação ao Espírito Santo.</w:t>
      </w:r>
    </w:p>
    <w:p w14:paraId="4C2E5D9E" w14:textId="77777777" w:rsidR="00AA18B9" w:rsidRPr="003D103B" w:rsidRDefault="00AA18B9" w:rsidP="00AA18B9">
      <w:pPr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ab/>
        <w:t>Deus é Espírito</w:t>
      </w:r>
      <w:r>
        <w:rPr>
          <w:rFonts w:ascii="Times New Roman" w:hAnsi="Times New Roman" w:cs="Times New Roman"/>
        </w:rPr>
        <w:t>.</w:t>
      </w:r>
    </w:p>
    <w:p w14:paraId="29CA637F" w14:textId="6AF39960" w:rsidR="00AA18B9" w:rsidRPr="003D103B" w:rsidRDefault="00AA18B9" w:rsidP="00AA18B9">
      <w:pPr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ab/>
        <w:t xml:space="preserve">O Senhor Jesus disse à samaritana que acreditava necessário adorar em </w:t>
      </w:r>
      <w:r>
        <w:rPr>
          <w:rFonts w:ascii="Times New Roman" w:hAnsi="Times New Roman" w:cs="Times New Roman"/>
        </w:rPr>
        <w:t xml:space="preserve">um </w:t>
      </w:r>
      <w:r w:rsidRPr="003D103B">
        <w:rPr>
          <w:rFonts w:ascii="Times New Roman" w:hAnsi="Times New Roman" w:cs="Times New Roman"/>
        </w:rPr>
        <w:t xml:space="preserve">determinado lugar, que o </w:t>
      </w:r>
      <w:r>
        <w:rPr>
          <w:rFonts w:ascii="Times New Roman" w:hAnsi="Times New Roman" w:cs="Times New Roman"/>
        </w:rPr>
        <w:t>S</w:t>
      </w:r>
      <w:r w:rsidRPr="003D103B">
        <w:rPr>
          <w:rFonts w:ascii="Times New Roman" w:hAnsi="Times New Roman" w:cs="Times New Roman"/>
        </w:rPr>
        <w:t xml:space="preserve">er incorpóreo é incircunscrito afirmando que Deus é Espírito (Jo 4,24). Desta forma ao ouvir falar do Espírito Santo, a pessoa fiel não deve imaginar uma natureza circunscrita ou sujeita a mudança, alteração semelhante </w:t>
      </w:r>
      <w:r>
        <w:rPr>
          <w:rFonts w:ascii="Times New Roman" w:hAnsi="Times New Roman" w:cs="Times New Roman"/>
        </w:rPr>
        <w:t>à</w:t>
      </w:r>
      <w:r w:rsidRPr="003D103B">
        <w:rPr>
          <w:rFonts w:ascii="Times New Roman" w:hAnsi="Times New Roman" w:cs="Times New Roman"/>
        </w:rPr>
        <w:t xml:space="preserve"> uma criatura. Por isso ao pensar ao Ser sublime, </w:t>
      </w:r>
      <w:r w:rsidR="0081568F">
        <w:rPr>
          <w:rFonts w:ascii="Times New Roman" w:hAnsi="Times New Roman" w:cs="Times New Roman"/>
        </w:rPr>
        <w:t xml:space="preserve">o Espírito Santo, </w:t>
      </w:r>
      <w:r w:rsidRPr="003D103B">
        <w:rPr>
          <w:rFonts w:ascii="Times New Roman" w:hAnsi="Times New Roman" w:cs="Times New Roman"/>
        </w:rPr>
        <w:t>dever-se-á ter presente uma substância inteligente, de poder infinito, de grandeza ilimitada, fora do tempo e dos séculos</w:t>
      </w:r>
      <w:r w:rsidRPr="003D103B">
        <w:rPr>
          <w:rStyle w:val="Refdenotaderodap"/>
          <w:rFonts w:ascii="Times New Roman" w:hAnsi="Times New Roman" w:cs="Times New Roman"/>
        </w:rPr>
        <w:footnoteReference w:id="2"/>
      </w:r>
      <w:r w:rsidRPr="003D103B">
        <w:rPr>
          <w:rFonts w:ascii="Times New Roman" w:hAnsi="Times New Roman" w:cs="Times New Roman"/>
        </w:rPr>
        <w:t>.</w:t>
      </w:r>
    </w:p>
    <w:p w14:paraId="5457C498" w14:textId="77777777" w:rsidR="00AA18B9" w:rsidRPr="003D103B" w:rsidRDefault="00AA18B9" w:rsidP="00AA18B9">
      <w:pPr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ab/>
        <w:t>A busca da santificação.</w:t>
      </w:r>
    </w:p>
    <w:p w14:paraId="461DE3AB" w14:textId="77777777" w:rsidR="00AA18B9" w:rsidRPr="003D103B" w:rsidRDefault="00AA18B9" w:rsidP="00AA18B9">
      <w:pPr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ab/>
        <w:t>O Espírito Santo faz do ser humano</w:t>
      </w:r>
      <w:r>
        <w:rPr>
          <w:rFonts w:ascii="Times New Roman" w:hAnsi="Times New Roman" w:cs="Times New Roman"/>
        </w:rPr>
        <w:t xml:space="preserve"> uma contínua</w:t>
      </w:r>
      <w:r w:rsidRPr="003D103B">
        <w:rPr>
          <w:rFonts w:ascii="Times New Roman" w:hAnsi="Times New Roman" w:cs="Times New Roman"/>
        </w:rPr>
        <w:t xml:space="preserve"> busca de santificação, porque Ele é Santo. Para Ele se dirigem os desejos intensos das pessoas que vivem segundo a virtude, quantas recebem o calor de seu sopro sendo amparad</w:t>
      </w:r>
      <w:r>
        <w:rPr>
          <w:rFonts w:ascii="Times New Roman" w:hAnsi="Times New Roman" w:cs="Times New Roman"/>
        </w:rPr>
        <w:t>a</w:t>
      </w:r>
      <w:r w:rsidRPr="003D103B">
        <w:rPr>
          <w:rFonts w:ascii="Times New Roman" w:hAnsi="Times New Roman" w:cs="Times New Roman"/>
        </w:rPr>
        <w:t>s para alcançar o fim adequado a sua natureza, que é a divina. Ele sempre aperfeiçoa às pessoas que o buscam de coração sincero, sem contudo, Ele mesmo de nada carecer</w:t>
      </w:r>
      <w:r w:rsidRPr="003D103B">
        <w:rPr>
          <w:rStyle w:val="Refdenotaderodap"/>
          <w:rFonts w:ascii="Times New Roman" w:hAnsi="Times New Roman" w:cs="Times New Roman"/>
        </w:rPr>
        <w:footnoteReference w:id="3"/>
      </w:r>
      <w:r w:rsidRPr="003D103B">
        <w:rPr>
          <w:rFonts w:ascii="Times New Roman" w:hAnsi="Times New Roman" w:cs="Times New Roman"/>
        </w:rPr>
        <w:t xml:space="preserve">. </w:t>
      </w:r>
    </w:p>
    <w:p w14:paraId="03B3F8E8" w14:textId="77777777" w:rsidR="00AA18B9" w:rsidRPr="003D103B" w:rsidRDefault="00AA18B9" w:rsidP="00AA18B9">
      <w:pPr>
        <w:ind w:firstLine="708"/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>Provedor de vida.</w:t>
      </w:r>
    </w:p>
    <w:p w14:paraId="2A609155" w14:textId="2E681C16" w:rsidR="00AA18B9" w:rsidRPr="003D103B" w:rsidRDefault="00AA18B9" w:rsidP="00AA18B9">
      <w:pPr>
        <w:ind w:firstLine="708"/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 xml:space="preserve">Ele é </w:t>
      </w:r>
      <w:r w:rsidR="000A5485">
        <w:rPr>
          <w:rFonts w:ascii="Times New Roman" w:hAnsi="Times New Roman" w:cs="Times New Roman"/>
        </w:rPr>
        <w:t>o</w:t>
      </w:r>
      <w:r w:rsidRPr="003D103B">
        <w:rPr>
          <w:rFonts w:ascii="Times New Roman" w:hAnsi="Times New Roman" w:cs="Times New Roman"/>
        </w:rPr>
        <w:t xml:space="preserve"> Ser que é provedor de vida, porque nele não há morte, destruição. Ele é a vida em plenitude junto com o Pai e o Filho. Ele não aumenta, mas possui a plenitude da vida, é consistente por si mesmo, estando em toda a parte. Ele concede </w:t>
      </w:r>
      <w:r>
        <w:rPr>
          <w:rFonts w:ascii="Times New Roman" w:hAnsi="Times New Roman" w:cs="Times New Roman"/>
        </w:rPr>
        <w:t xml:space="preserve">a </w:t>
      </w:r>
      <w:r w:rsidRPr="003D103B">
        <w:rPr>
          <w:rFonts w:ascii="Times New Roman" w:hAnsi="Times New Roman" w:cs="Times New Roman"/>
        </w:rPr>
        <w:t xml:space="preserve">iluminação a </w:t>
      </w:r>
      <w:r w:rsidRPr="003D103B">
        <w:rPr>
          <w:rFonts w:ascii="Times New Roman" w:hAnsi="Times New Roman" w:cs="Times New Roman"/>
        </w:rPr>
        <w:lastRenderedPageBreak/>
        <w:t>toda a faculdade racional, para que descubra a verdade. Seu poder enche todas as coisas, comunicando-se às pessoas que são dignas, operando conforme à fé</w:t>
      </w:r>
      <w:r>
        <w:rPr>
          <w:rFonts w:ascii="Times New Roman" w:hAnsi="Times New Roman" w:cs="Times New Roman"/>
        </w:rPr>
        <w:t>,</w:t>
      </w:r>
      <w:r w:rsidRPr="003D10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3D103B">
        <w:rPr>
          <w:rFonts w:ascii="Times New Roman" w:hAnsi="Times New Roman" w:cs="Times New Roman"/>
        </w:rPr>
        <w:t xml:space="preserve"> caridade</w:t>
      </w:r>
      <w:r w:rsidRPr="003D103B">
        <w:rPr>
          <w:rStyle w:val="Refdenotaderodap"/>
          <w:rFonts w:ascii="Times New Roman" w:hAnsi="Times New Roman" w:cs="Times New Roman"/>
        </w:rPr>
        <w:footnoteReference w:id="4"/>
      </w:r>
      <w:r w:rsidRPr="003D103B">
        <w:rPr>
          <w:rFonts w:ascii="Times New Roman" w:hAnsi="Times New Roman" w:cs="Times New Roman"/>
        </w:rPr>
        <w:t xml:space="preserve">. </w:t>
      </w:r>
    </w:p>
    <w:p w14:paraId="55B4346E" w14:textId="77777777" w:rsidR="00AA18B9" w:rsidRPr="003D103B" w:rsidRDefault="00AA18B9" w:rsidP="00AA18B9">
      <w:pPr>
        <w:ind w:firstLine="708"/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>Simples por essência</w:t>
      </w:r>
      <w:r>
        <w:rPr>
          <w:rFonts w:ascii="Times New Roman" w:hAnsi="Times New Roman" w:cs="Times New Roman"/>
        </w:rPr>
        <w:t>.</w:t>
      </w:r>
      <w:r w:rsidRPr="003D103B">
        <w:rPr>
          <w:rFonts w:ascii="Times New Roman" w:hAnsi="Times New Roman" w:cs="Times New Roman"/>
        </w:rPr>
        <w:t xml:space="preserve"> </w:t>
      </w:r>
    </w:p>
    <w:p w14:paraId="7D4C55E5" w14:textId="77777777" w:rsidR="00AA18B9" w:rsidRPr="003D103B" w:rsidRDefault="00AA18B9" w:rsidP="00AA18B9">
      <w:pPr>
        <w:ind w:firstLine="708"/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 xml:space="preserve">O Espírito Santo é simples por essência, e o seu poder se manifesta em milagres variados (Cfr. Hb 2,4). Ele está presente todo inteiro em cada ser. Ele é impassível na partilha, </w:t>
      </w:r>
      <w:r>
        <w:rPr>
          <w:rFonts w:ascii="Times New Roman" w:hAnsi="Times New Roman" w:cs="Times New Roman"/>
        </w:rPr>
        <w:t>S</w:t>
      </w:r>
      <w:r w:rsidRPr="003D103B">
        <w:rPr>
          <w:rFonts w:ascii="Times New Roman" w:hAnsi="Times New Roman" w:cs="Times New Roman"/>
        </w:rPr>
        <w:t xml:space="preserve">er que não falha na comunicação, iluminando a todo o ser que nele se volta com amor. Ele está presente </w:t>
      </w:r>
      <w:r>
        <w:rPr>
          <w:rFonts w:ascii="Times New Roman" w:hAnsi="Times New Roman" w:cs="Times New Roman"/>
        </w:rPr>
        <w:t xml:space="preserve">em tudo, </w:t>
      </w:r>
      <w:r w:rsidRPr="003D103B">
        <w:rPr>
          <w:rFonts w:ascii="Times New Roman" w:hAnsi="Times New Roman" w:cs="Times New Roman"/>
        </w:rPr>
        <w:t xml:space="preserve">como se fosse o único às pessoas que são capazes de acolhê-lo, e </w:t>
      </w:r>
      <w:r>
        <w:rPr>
          <w:rFonts w:ascii="Times New Roman" w:hAnsi="Times New Roman" w:cs="Times New Roman"/>
        </w:rPr>
        <w:t xml:space="preserve">Ele </w:t>
      </w:r>
      <w:r w:rsidRPr="003D103B">
        <w:rPr>
          <w:rFonts w:ascii="Times New Roman" w:hAnsi="Times New Roman" w:cs="Times New Roman"/>
        </w:rPr>
        <w:t>comunica a graça suficiente para todas as pessoas que usufruem da sua graça o quanto é possível por sua natureza</w:t>
      </w:r>
      <w:r w:rsidRPr="003D103B">
        <w:rPr>
          <w:rStyle w:val="Refdenotaderodap"/>
          <w:rFonts w:ascii="Times New Roman" w:hAnsi="Times New Roman" w:cs="Times New Roman"/>
        </w:rPr>
        <w:footnoteReference w:id="5"/>
      </w:r>
      <w:r w:rsidRPr="003D103B">
        <w:rPr>
          <w:rFonts w:ascii="Times New Roman" w:hAnsi="Times New Roman" w:cs="Times New Roman"/>
        </w:rPr>
        <w:t>.</w:t>
      </w:r>
    </w:p>
    <w:p w14:paraId="74882EA5" w14:textId="77777777" w:rsidR="00AA18B9" w:rsidRPr="003D103B" w:rsidRDefault="00AA18B9" w:rsidP="00AA18B9">
      <w:pPr>
        <w:ind w:firstLine="708"/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>A aproximação do Paráclito</w:t>
      </w:r>
      <w:r>
        <w:rPr>
          <w:rFonts w:ascii="Times New Roman" w:hAnsi="Times New Roman" w:cs="Times New Roman"/>
        </w:rPr>
        <w:t>.</w:t>
      </w:r>
    </w:p>
    <w:p w14:paraId="277264E8" w14:textId="77777777" w:rsidR="00AA18B9" w:rsidRPr="003D103B" w:rsidRDefault="00AA18B9" w:rsidP="00AA18B9">
      <w:pPr>
        <w:ind w:firstLine="708"/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>São Basílio afirmou que é possível aproximar-se do Paráclito, do Espírito Santo se o ser humano fizer a sua parte, através da purificação e a recuperação da beleza própria da nossa natureza, na sua primitiva forma</w:t>
      </w:r>
      <w:r w:rsidRPr="003D103B">
        <w:rPr>
          <w:rStyle w:val="Refdenotaderodap"/>
          <w:rFonts w:ascii="Times New Roman" w:hAnsi="Times New Roman" w:cs="Times New Roman"/>
        </w:rPr>
        <w:footnoteReference w:id="6"/>
      </w:r>
      <w:r w:rsidRPr="003D103B">
        <w:rPr>
          <w:rFonts w:ascii="Times New Roman" w:hAnsi="Times New Roman" w:cs="Times New Roman"/>
        </w:rPr>
        <w:t>. O Paráclito como um sol, penetrará os olhos purificados e mostrará em si a Imagem do ser Invisível. Na feliz contemplação da Imagem, a pessoa verá a inefável beleza do modelo originário</w:t>
      </w:r>
      <w:r w:rsidRPr="003D103B">
        <w:rPr>
          <w:rStyle w:val="Refdenotaderodap"/>
          <w:rFonts w:ascii="Times New Roman" w:hAnsi="Times New Roman" w:cs="Times New Roman"/>
        </w:rPr>
        <w:footnoteReference w:id="7"/>
      </w:r>
      <w:r w:rsidRPr="003D103B">
        <w:rPr>
          <w:rFonts w:ascii="Times New Roman" w:hAnsi="Times New Roman" w:cs="Times New Roman"/>
        </w:rPr>
        <w:t xml:space="preserve">. </w:t>
      </w:r>
    </w:p>
    <w:p w14:paraId="6A95E096" w14:textId="77777777" w:rsidR="00AA18B9" w:rsidRPr="003D103B" w:rsidRDefault="00AA18B9" w:rsidP="00AA18B9">
      <w:pPr>
        <w:ind w:firstLine="708"/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>As ações do Espírito Santo.</w:t>
      </w:r>
    </w:p>
    <w:p w14:paraId="12D5BF33" w14:textId="24415876" w:rsidR="00AA18B9" w:rsidRPr="003D103B" w:rsidRDefault="00AA18B9" w:rsidP="00AA18B9">
      <w:pPr>
        <w:ind w:firstLine="708"/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 xml:space="preserve">É importante ver as ações que o Espírito Santo realiza nas pessoas, porque por meio </w:t>
      </w:r>
      <w:r w:rsidR="009142F2">
        <w:rPr>
          <w:rFonts w:ascii="Times New Roman" w:hAnsi="Times New Roman" w:cs="Times New Roman"/>
        </w:rPr>
        <w:t>D</w:t>
      </w:r>
      <w:r w:rsidRPr="003D103B">
        <w:rPr>
          <w:rFonts w:ascii="Times New Roman" w:hAnsi="Times New Roman" w:cs="Times New Roman"/>
        </w:rPr>
        <w:t>ele, elevam-se os corações, os fracos são conduzidos pela mão, os que progridem chegam à perfeição. Através da conversão de vida das pessoas, transforma o Espírito as pessoas em espirituais, através da comunhão com Ele</w:t>
      </w:r>
      <w:r w:rsidRPr="003D103B">
        <w:rPr>
          <w:rStyle w:val="Refdenotaderodap"/>
          <w:rFonts w:ascii="Times New Roman" w:hAnsi="Times New Roman" w:cs="Times New Roman"/>
        </w:rPr>
        <w:footnoteReference w:id="8"/>
      </w:r>
      <w:r w:rsidRPr="003D103B">
        <w:rPr>
          <w:rFonts w:ascii="Times New Roman" w:hAnsi="Times New Roman" w:cs="Times New Roman"/>
        </w:rPr>
        <w:t>. O Espírito Santo dá a graça da inteligência dos mistérios, a percepção das coisas ocultas, a distribuição dos carismas, a cidadania celeste, o canto em coro com os anjos, a alegria interminável, a habitação junto de Deus, a semelhança com Deus</w:t>
      </w:r>
      <w:r w:rsidRPr="003D103B">
        <w:rPr>
          <w:rStyle w:val="Refdenotaderodap"/>
          <w:rFonts w:ascii="Times New Roman" w:hAnsi="Times New Roman" w:cs="Times New Roman"/>
        </w:rPr>
        <w:footnoteReference w:id="9"/>
      </w:r>
      <w:r w:rsidRPr="003D103B">
        <w:rPr>
          <w:rFonts w:ascii="Times New Roman" w:hAnsi="Times New Roman" w:cs="Times New Roman"/>
        </w:rPr>
        <w:t xml:space="preserve">. </w:t>
      </w:r>
    </w:p>
    <w:p w14:paraId="2D14BFCD" w14:textId="77777777" w:rsidR="00AA18B9" w:rsidRPr="003D103B" w:rsidRDefault="00AA18B9" w:rsidP="00AA18B9">
      <w:pPr>
        <w:ind w:firstLine="708"/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 xml:space="preserve">Crer no Filho e no Pai. </w:t>
      </w:r>
    </w:p>
    <w:p w14:paraId="100EDEC3" w14:textId="77777777" w:rsidR="00AA18B9" w:rsidRPr="003D103B" w:rsidRDefault="00AA18B9" w:rsidP="00AA18B9">
      <w:pPr>
        <w:ind w:firstLine="708"/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>São Basilio disse que a pessoa unida ao Espírito acredita no Filho, da mesma forma a pessoa unida no Espírito crê no Pai. Ninguém pode dizer Jesus é o Senhor a não ser no Espírito Santo (</w:t>
      </w:r>
      <w:r>
        <w:rPr>
          <w:rFonts w:ascii="Times New Roman" w:hAnsi="Times New Roman" w:cs="Times New Roman"/>
        </w:rPr>
        <w:t>C</w:t>
      </w:r>
      <w:r w:rsidRPr="003D103B">
        <w:rPr>
          <w:rFonts w:ascii="Times New Roman" w:hAnsi="Times New Roman" w:cs="Times New Roman"/>
        </w:rPr>
        <w:t>fr. 1 Cor 12,3). Desta forma é impossível adorar o Filho, a não ser no Espírito Santo, nem é possível invocar o Pai, a não ser no Espírito de adoção filial</w:t>
      </w:r>
      <w:r w:rsidRPr="003D103B">
        <w:rPr>
          <w:rStyle w:val="Refdenotaderodap"/>
          <w:rFonts w:ascii="Times New Roman" w:hAnsi="Times New Roman" w:cs="Times New Roman"/>
        </w:rPr>
        <w:footnoteReference w:id="10"/>
      </w:r>
      <w:r w:rsidRPr="003D103B">
        <w:rPr>
          <w:rFonts w:ascii="Times New Roman" w:hAnsi="Times New Roman" w:cs="Times New Roman"/>
        </w:rPr>
        <w:t xml:space="preserve">. Por isto o Espírito Santo nos une com o Pai e o Filho e a todas as criaturas. </w:t>
      </w:r>
    </w:p>
    <w:p w14:paraId="68A4C46E" w14:textId="09481CBC" w:rsidR="00AA18B9" w:rsidRPr="00AA18B9" w:rsidRDefault="00AA18B9" w:rsidP="00AA18B9">
      <w:pPr>
        <w:ind w:firstLine="708"/>
        <w:jc w:val="both"/>
        <w:rPr>
          <w:rFonts w:ascii="Times New Roman" w:hAnsi="Times New Roman" w:cs="Times New Roman"/>
        </w:rPr>
      </w:pPr>
      <w:r w:rsidRPr="003D103B">
        <w:rPr>
          <w:rFonts w:ascii="Times New Roman" w:hAnsi="Times New Roman" w:cs="Times New Roman"/>
        </w:rPr>
        <w:t xml:space="preserve">Nós </w:t>
      </w:r>
      <w:r>
        <w:rPr>
          <w:rFonts w:ascii="Times New Roman" w:hAnsi="Times New Roman" w:cs="Times New Roman"/>
        </w:rPr>
        <w:t xml:space="preserve">almejamos um novo </w:t>
      </w:r>
      <w:r w:rsidRPr="003D103B">
        <w:rPr>
          <w:rFonts w:ascii="Times New Roman" w:hAnsi="Times New Roman" w:cs="Times New Roman"/>
        </w:rPr>
        <w:t xml:space="preserve">Pentecostes de modo que é preciso </w:t>
      </w:r>
      <w:r>
        <w:rPr>
          <w:rFonts w:ascii="Times New Roman" w:hAnsi="Times New Roman" w:cs="Times New Roman"/>
        </w:rPr>
        <w:t xml:space="preserve">rezar e trabalhar para que Ele aconteça </w:t>
      </w:r>
      <w:r w:rsidRPr="003D103B">
        <w:rPr>
          <w:rFonts w:ascii="Times New Roman" w:hAnsi="Times New Roman" w:cs="Times New Roman"/>
        </w:rPr>
        <w:t xml:space="preserve">para a toda Igreja, </w:t>
      </w:r>
      <w:r>
        <w:rPr>
          <w:rFonts w:ascii="Times New Roman" w:hAnsi="Times New Roman" w:cs="Times New Roman"/>
        </w:rPr>
        <w:t xml:space="preserve">para </w:t>
      </w:r>
      <w:r w:rsidRPr="003D103B">
        <w:rPr>
          <w:rFonts w:ascii="Times New Roman" w:hAnsi="Times New Roman" w:cs="Times New Roman"/>
        </w:rPr>
        <w:t>o mundo e a todos nós para que vivencia</w:t>
      </w:r>
      <w:r>
        <w:rPr>
          <w:rFonts w:ascii="Times New Roman" w:hAnsi="Times New Roman" w:cs="Times New Roman"/>
        </w:rPr>
        <w:t>mos</w:t>
      </w:r>
      <w:r w:rsidRPr="003D10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sempre mais </w:t>
      </w:r>
      <w:r w:rsidRPr="003D103B">
        <w:rPr>
          <w:rFonts w:ascii="Times New Roman" w:hAnsi="Times New Roman" w:cs="Times New Roman"/>
        </w:rPr>
        <w:t>o amor a Deus, ao próximo a com</w:t>
      </w:r>
      <w:r>
        <w:rPr>
          <w:rFonts w:ascii="Times New Roman" w:hAnsi="Times New Roman" w:cs="Times New Roman"/>
        </w:rPr>
        <w:t>o</w:t>
      </w:r>
      <w:r w:rsidRPr="003D103B">
        <w:rPr>
          <w:rFonts w:ascii="Times New Roman" w:hAnsi="Times New Roman" w:cs="Times New Roman"/>
        </w:rPr>
        <w:t xml:space="preserve"> a si mesmo. </w:t>
      </w:r>
    </w:p>
    <w:sectPr w:rsidR="00AA18B9" w:rsidRPr="00AA18B9" w:rsidSect="00AA1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A738" w14:textId="77777777" w:rsidR="00A90EF2" w:rsidRDefault="00A90EF2" w:rsidP="00AA18B9">
      <w:pPr>
        <w:spacing w:after="0" w:line="240" w:lineRule="auto"/>
      </w:pPr>
      <w:r>
        <w:separator/>
      </w:r>
    </w:p>
  </w:endnote>
  <w:endnote w:type="continuationSeparator" w:id="0">
    <w:p w14:paraId="48CF2FC9" w14:textId="77777777" w:rsidR="00A90EF2" w:rsidRDefault="00A90EF2" w:rsidP="00AA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DA0F" w14:textId="77777777" w:rsidR="00A90EF2" w:rsidRDefault="00A90EF2" w:rsidP="00AA18B9">
      <w:pPr>
        <w:spacing w:after="0" w:line="240" w:lineRule="auto"/>
      </w:pPr>
      <w:r>
        <w:separator/>
      </w:r>
    </w:p>
  </w:footnote>
  <w:footnote w:type="continuationSeparator" w:id="0">
    <w:p w14:paraId="155166D7" w14:textId="77777777" w:rsidR="00A90EF2" w:rsidRDefault="00A90EF2" w:rsidP="00AA18B9">
      <w:pPr>
        <w:spacing w:after="0" w:line="240" w:lineRule="auto"/>
      </w:pPr>
      <w:r>
        <w:continuationSeparator/>
      </w:r>
    </w:p>
  </w:footnote>
  <w:footnote w:id="1">
    <w:p w14:paraId="6A94B798" w14:textId="77777777" w:rsidR="00AA18B9" w:rsidRDefault="00AA18B9" w:rsidP="00AA18B9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2366DA">
        <w:rPr>
          <w:i/>
          <w:iCs/>
        </w:rPr>
        <w:t xml:space="preserve"> Tratado sobre o Espírito Santo, 9,22.</w:t>
      </w:r>
      <w:r>
        <w:t xml:space="preserve"> In:</w:t>
      </w:r>
      <w:r w:rsidRPr="002366DA">
        <w:rPr>
          <w:i/>
          <w:iCs/>
        </w:rPr>
        <w:t xml:space="preserve"> Basílio de Cesaréia.</w:t>
      </w:r>
      <w:r>
        <w:t xml:space="preserve"> São Paulo: Paulus, 1998, pg. 114. </w:t>
      </w:r>
    </w:p>
  </w:footnote>
  <w:footnote w:id="2">
    <w:p w14:paraId="66543921" w14:textId="77777777" w:rsidR="00AA18B9" w:rsidRDefault="00AA18B9" w:rsidP="00AA18B9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2366DA">
        <w:rPr>
          <w:i/>
          <w:iCs/>
        </w:rPr>
        <w:t xml:space="preserve"> Idem</w:t>
      </w:r>
      <w:r>
        <w:t xml:space="preserve">, pgs. 114-115. </w:t>
      </w:r>
    </w:p>
  </w:footnote>
  <w:footnote w:id="3">
    <w:p w14:paraId="48208AF1" w14:textId="77777777" w:rsidR="00AA18B9" w:rsidRDefault="00AA18B9" w:rsidP="00AA18B9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EF2652">
        <w:rPr>
          <w:i/>
          <w:iCs/>
        </w:rPr>
        <w:t>Ibidem,</w:t>
      </w:r>
      <w:r>
        <w:t xml:space="preserve"> pg. 115. </w:t>
      </w:r>
    </w:p>
  </w:footnote>
  <w:footnote w:id="4">
    <w:p w14:paraId="237F253B" w14:textId="77777777" w:rsidR="00AA18B9" w:rsidRDefault="00AA18B9" w:rsidP="00AA18B9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EF2652">
        <w:rPr>
          <w:i/>
          <w:iCs/>
        </w:rPr>
        <w:t>Ibidem</w:t>
      </w:r>
      <w:r>
        <w:t>.</w:t>
      </w:r>
    </w:p>
  </w:footnote>
  <w:footnote w:id="5">
    <w:p w14:paraId="5FC40E91" w14:textId="77777777" w:rsidR="00AA18B9" w:rsidRDefault="00AA18B9" w:rsidP="00AA18B9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EF2652">
        <w:rPr>
          <w:i/>
          <w:iCs/>
        </w:rPr>
        <w:t>Ibidem</w:t>
      </w:r>
      <w:r>
        <w:t xml:space="preserve">. </w:t>
      </w:r>
    </w:p>
  </w:footnote>
  <w:footnote w:id="6">
    <w:p w14:paraId="7F6FAB1C" w14:textId="77777777" w:rsidR="00AA18B9" w:rsidRDefault="00AA18B9" w:rsidP="00AA18B9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EF2652">
        <w:rPr>
          <w:i/>
          <w:iCs/>
        </w:rPr>
        <w:t>Ibidem</w:t>
      </w:r>
      <w:r>
        <w:t xml:space="preserve">, </w:t>
      </w:r>
      <w:r w:rsidRPr="00EF2652">
        <w:rPr>
          <w:i/>
          <w:iCs/>
        </w:rPr>
        <w:t>9, 23,</w:t>
      </w:r>
      <w:r>
        <w:t xml:space="preserve"> pg. 116.</w:t>
      </w:r>
    </w:p>
  </w:footnote>
  <w:footnote w:id="7">
    <w:p w14:paraId="7A045A96" w14:textId="77777777" w:rsidR="00AA18B9" w:rsidRDefault="00AA18B9" w:rsidP="00AA18B9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EF2652">
        <w:rPr>
          <w:i/>
          <w:iCs/>
        </w:rPr>
        <w:t xml:space="preserve"> Ibidem</w:t>
      </w:r>
      <w:r>
        <w:t>.</w:t>
      </w:r>
    </w:p>
  </w:footnote>
  <w:footnote w:id="8">
    <w:p w14:paraId="141431CB" w14:textId="77777777" w:rsidR="00AA18B9" w:rsidRDefault="00AA18B9" w:rsidP="00AA18B9">
      <w:pPr>
        <w:pStyle w:val="Textodenotaderodap"/>
      </w:pPr>
      <w:r>
        <w:rPr>
          <w:rStyle w:val="Refdenotaderodap"/>
        </w:rPr>
        <w:footnoteRef/>
      </w:r>
      <w:r>
        <w:t xml:space="preserve"> Cfr. </w:t>
      </w:r>
      <w:r w:rsidRPr="00EF2652">
        <w:rPr>
          <w:i/>
          <w:iCs/>
        </w:rPr>
        <w:t>Ibidem</w:t>
      </w:r>
      <w:r>
        <w:t xml:space="preserve">. </w:t>
      </w:r>
    </w:p>
  </w:footnote>
  <w:footnote w:id="9">
    <w:p w14:paraId="65C6F19D" w14:textId="77777777" w:rsidR="00AA18B9" w:rsidRDefault="00AA18B9" w:rsidP="00AA18B9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EF2652">
        <w:rPr>
          <w:i/>
          <w:iCs/>
        </w:rPr>
        <w:t xml:space="preserve"> Ibidem</w:t>
      </w:r>
      <w:r>
        <w:t xml:space="preserve">. </w:t>
      </w:r>
    </w:p>
  </w:footnote>
  <w:footnote w:id="10">
    <w:p w14:paraId="1C300F12" w14:textId="77777777" w:rsidR="00AA18B9" w:rsidRDefault="00AA18B9" w:rsidP="00AA18B9">
      <w:pPr>
        <w:pStyle w:val="Textodenotaderodap"/>
      </w:pPr>
      <w:r>
        <w:rPr>
          <w:rStyle w:val="Refdenotaderodap"/>
        </w:rPr>
        <w:footnoteRef/>
      </w:r>
      <w:r>
        <w:t xml:space="preserve"> Cfr.</w:t>
      </w:r>
      <w:r w:rsidRPr="006A1A32">
        <w:rPr>
          <w:i/>
          <w:iCs/>
        </w:rPr>
        <w:t xml:space="preserve"> Ibidem, 11, 27</w:t>
      </w:r>
      <w:r>
        <w:t xml:space="preserve">, pg. 120.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B9"/>
    <w:rsid w:val="000A5485"/>
    <w:rsid w:val="00677568"/>
    <w:rsid w:val="007E1AEC"/>
    <w:rsid w:val="0081568F"/>
    <w:rsid w:val="00840541"/>
    <w:rsid w:val="008D2208"/>
    <w:rsid w:val="009142F2"/>
    <w:rsid w:val="00A90EF2"/>
    <w:rsid w:val="00AA18B9"/>
    <w:rsid w:val="00D368E4"/>
    <w:rsid w:val="00E430E4"/>
    <w:rsid w:val="00EA4DD8"/>
    <w:rsid w:val="00F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9CC9"/>
  <w15:chartTrackingRefBased/>
  <w15:docId w15:val="{9019EACB-D265-45AE-A3A4-152627D7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B9"/>
  </w:style>
  <w:style w:type="paragraph" w:styleId="Ttulo1">
    <w:name w:val="heading 1"/>
    <w:basedOn w:val="Normal"/>
    <w:next w:val="Normal"/>
    <w:link w:val="Ttulo1Char"/>
    <w:uiPriority w:val="9"/>
    <w:qFormat/>
    <w:rsid w:val="00AA1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1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1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1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1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1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1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1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1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1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1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18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18B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18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18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18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18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1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1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1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18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18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18B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1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18B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18B9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18B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18B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A1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Diocese Maraba</dc:creator>
  <cp:keywords/>
  <dc:description/>
  <cp:lastModifiedBy>Diocese Maraba</cp:lastModifiedBy>
  <cp:revision>9</cp:revision>
  <dcterms:created xsi:type="dcterms:W3CDTF">2026-05-20T12:35:00Z</dcterms:created>
  <dcterms:modified xsi:type="dcterms:W3CDTF">2026-05-20T17:59:00Z</dcterms:modified>
</cp:coreProperties>
</file>