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90FD" w14:textId="1458E799" w:rsidR="001A46DC" w:rsidRDefault="001A46DC" w:rsidP="001A46DC">
      <w:pPr>
        <w:jc w:val="center"/>
      </w:pPr>
      <w:r>
        <w:t xml:space="preserve">A </w:t>
      </w:r>
      <w:r w:rsidR="005E0B6B">
        <w:t>E</w:t>
      </w:r>
      <w:r>
        <w:t>ucaristia, fonte e ápice da vida cristã.</w:t>
      </w:r>
    </w:p>
    <w:p w14:paraId="4E3843BF" w14:textId="3F945F27" w:rsidR="00543BC8" w:rsidRDefault="00543BC8" w:rsidP="001A46DC">
      <w:pPr>
        <w:jc w:val="center"/>
      </w:pPr>
      <w:r>
        <w:t xml:space="preserve">Por Dom Vital Corbellini, Bispo de Marabá – PA. </w:t>
      </w:r>
    </w:p>
    <w:p w14:paraId="5FE7D963" w14:textId="77777777" w:rsidR="00602479" w:rsidRDefault="001A46DC" w:rsidP="001A46DC">
      <w:pPr>
        <w:jc w:val="both"/>
      </w:pPr>
      <w:r>
        <w:tab/>
        <w:t xml:space="preserve">O Concílio Vaticano II afirma que a eucaristia é fonte e ápice da vida cristã (LG 11). </w:t>
      </w:r>
      <w:r w:rsidR="00AB2E4D">
        <w:t>Nós somos su</w:t>
      </w:r>
      <w:r w:rsidR="00E7300F">
        <w:t>stentados por um alimento grandioso, valoroso que só Je</w:t>
      </w:r>
      <w:r w:rsidR="00014C88">
        <w:t>s</w:t>
      </w:r>
      <w:r w:rsidR="00E7300F">
        <w:t xml:space="preserve">us </w:t>
      </w:r>
      <w:r w:rsidR="00014C88">
        <w:t>pode nos dar</w:t>
      </w:r>
      <w:r w:rsidR="008479B4">
        <w:t xml:space="preserve"> </w:t>
      </w:r>
      <w:r w:rsidR="00602479">
        <w:t>do qual Ele é o pão para a vida verdadeira</w:t>
      </w:r>
      <w:r w:rsidR="00014C88">
        <w:t xml:space="preserve">. </w:t>
      </w:r>
    </w:p>
    <w:p w14:paraId="3BEE68EC" w14:textId="233C6B29" w:rsidR="00543BC8" w:rsidRDefault="005633A7" w:rsidP="00602479">
      <w:pPr>
        <w:ind w:firstLine="708"/>
        <w:jc w:val="both"/>
      </w:pPr>
      <w:r>
        <w:t>Nós festejamos o Corpus Christi como a presenç</w:t>
      </w:r>
      <w:r w:rsidR="00543BC8">
        <w:t xml:space="preserve">a de Cristo Jesus na </w:t>
      </w:r>
      <w:r w:rsidR="00044482">
        <w:t xml:space="preserve">eucaristia na </w:t>
      </w:r>
      <w:r w:rsidR="00543BC8">
        <w:t>qual manifestaremos esta vida nele</w:t>
      </w:r>
      <w:r w:rsidR="00044482">
        <w:t>, em Jesus</w:t>
      </w:r>
      <w:r w:rsidR="00543BC8">
        <w:t xml:space="preserve"> nas ruas, pelas procissões, tapetes onde se ressaltam a </w:t>
      </w:r>
      <w:r w:rsidR="00044482">
        <w:t xml:space="preserve">ação de graças que é a </w:t>
      </w:r>
      <w:r w:rsidR="00543BC8">
        <w:t>eucaristia como dom de Deus, e como testemunho para viver a unidade, a fraternidade</w:t>
      </w:r>
      <w:r w:rsidR="00044482">
        <w:t>, o amor a Deus, ao próximo como a si mesmo</w:t>
      </w:r>
      <w:r w:rsidR="00543BC8">
        <w:t xml:space="preserve"> no mundo de hoje. </w:t>
      </w:r>
    </w:p>
    <w:p w14:paraId="3480161B" w14:textId="644C35D6" w:rsidR="003C6792" w:rsidRDefault="00543BC8" w:rsidP="00543BC8">
      <w:pPr>
        <w:ind w:firstLine="708"/>
        <w:jc w:val="both"/>
      </w:pPr>
      <w:r>
        <w:t>Nós sabemos que t</w:t>
      </w:r>
      <w:r w:rsidR="001A46DC">
        <w:t>udo converge para o grande mistério na qual somos chamados a adorar Jesus n</w:t>
      </w:r>
      <w:r w:rsidR="00044482">
        <w:t xml:space="preserve">a hóstia </w:t>
      </w:r>
      <w:r w:rsidR="00A34909">
        <w:t xml:space="preserve">consagrada </w:t>
      </w:r>
      <w:r w:rsidR="001A46DC">
        <w:t>que sustenta a caminhada rumo à casa do Pai. Jesus está presente no pão e no vinho consagrados. Ele é o pão que desceu do céu</w:t>
      </w:r>
      <w:r>
        <w:t xml:space="preserve"> (cfr. </w:t>
      </w:r>
      <w:proofErr w:type="spellStart"/>
      <w:r>
        <w:t>Jo</w:t>
      </w:r>
      <w:proofErr w:type="spellEnd"/>
      <w:r>
        <w:t xml:space="preserve"> 6,51)</w:t>
      </w:r>
      <w:r w:rsidR="001A46DC">
        <w:t xml:space="preserve"> para nos ajudar a viver bem neste mundo e um dia na eternidade. Nós veremos a seguir uma visão nos santos Padres da Igreja, os primeiros escritores cristãos</w:t>
      </w:r>
      <w:r>
        <w:t xml:space="preserve"> a respeito do grande mistério que é a Eucaristia. </w:t>
      </w:r>
    </w:p>
    <w:p w14:paraId="13544B4F" w14:textId="77777777" w:rsidR="003C6792" w:rsidRDefault="003C6792" w:rsidP="001A46DC">
      <w:pPr>
        <w:jc w:val="both"/>
      </w:pPr>
      <w:r>
        <w:tab/>
        <w:t>A dignidade do mistério eucarístico.</w:t>
      </w:r>
    </w:p>
    <w:p w14:paraId="035EEE9D" w14:textId="1768B07E" w:rsidR="00E16E08" w:rsidRDefault="003C6792" w:rsidP="001A46DC">
      <w:pPr>
        <w:jc w:val="both"/>
      </w:pPr>
      <w:r>
        <w:tab/>
        <w:t xml:space="preserve">Tertuliano, padre </w:t>
      </w:r>
      <w:r w:rsidR="00A04212">
        <w:t xml:space="preserve">da Igreja </w:t>
      </w:r>
      <w:r>
        <w:t>dos séculos II e III afirmou que o mistério da Eucaristia, confiado pelo Senhor no momento da última ceia e a todas as pessoas é tomado também nas assembleias cristãs que ocorrem ante</w:t>
      </w:r>
      <w:r w:rsidR="00543BC8">
        <w:t>s</w:t>
      </w:r>
      <w:r>
        <w:t xml:space="preserve"> da aurora, não por mãos de outras </w:t>
      </w:r>
      <w:proofErr w:type="gramStart"/>
      <w:r>
        <w:t>pe</w:t>
      </w:r>
      <w:r w:rsidR="00B36B91">
        <w:t>s</w:t>
      </w:r>
      <w:r>
        <w:t>soas</w:t>
      </w:r>
      <w:proofErr w:type="gramEnd"/>
      <w:r>
        <w:t xml:space="preserve"> mas daquelas com as quais presidem as celebrações litúrgicas</w:t>
      </w:r>
      <w:r w:rsidR="00543BC8">
        <w:t>, os sacerdotes, os bispos</w:t>
      </w:r>
      <w:r>
        <w:t>. Os ministros celebram o sacrifício eucarístico para os defuntos, tendo presente em cada ano</w:t>
      </w:r>
      <w:r w:rsidR="00543BC8">
        <w:t>,</w:t>
      </w:r>
      <w:r>
        <w:t xml:space="preserve"> a ocasião </w:t>
      </w:r>
      <w:r w:rsidR="00543BC8">
        <w:t xml:space="preserve">pela menção </w:t>
      </w:r>
      <w:r>
        <w:t>dos dias natalícios dos mártires</w:t>
      </w:r>
      <w:r>
        <w:rPr>
          <w:rStyle w:val="Refdenotaderodap"/>
        </w:rPr>
        <w:footnoteReference w:id="1"/>
      </w:r>
      <w:r>
        <w:t>. A pessoa comungava do corpo do Senhor em vista de uma vida de unidade, de fraternidade, de amor.</w:t>
      </w:r>
    </w:p>
    <w:p w14:paraId="40CE577D" w14:textId="6C459AB4" w:rsidR="00E16E08" w:rsidRDefault="00E16E08" w:rsidP="001A46DC">
      <w:pPr>
        <w:jc w:val="both"/>
      </w:pPr>
      <w:r>
        <w:tab/>
        <w:t>É Cristo que nos restaura.</w:t>
      </w:r>
    </w:p>
    <w:p w14:paraId="1535F130" w14:textId="4BC72131" w:rsidR="005A5F13" w:rsidRDefault="00E16E08" w:rsidP="001A46DC">
      <w:pPr>
        <w:jc w:val="both"/>
      </w:pPr>
      <w:r>
        <w:tab/>
        <w:t>Santo Ambrósio</w:t>
      </w:r>
      <w:r w:rsidR="00543BC8">
        <w:t>, bispo de Milão, século IV</w:t>
      </w:r>
      <w:r>
        <w:t xml:space="preserve"> afirmou que a eucaristia nos alimenta e nos restaura em vista de uma vida digna aqui e um dia no Reino dos céus. </w:t>
      </w:r>
      <w:r w:rsidR="005A5F13">
        <w:t xml:space="preserve">Quem senão Jesus Cristo nos alimenta com os seus preciosos dons de seu corpo e de seu </w:t>
      </w:r>
      <w:proofErr w:type="gramStart"/>
      <w:r w:rsidR="005A5F13">
        <w:t>sangue</w:t>
      </w:r>
      <w:r w:rsidR="00543BC8">
        <w:t>?!</w:t>
      </w:r>
      <w:r w:rsidR="005A5F13">
        <w:t>.</w:t>
      </w:r>
      <w:proofErr w:type="gramEnd"/>
      <w:r w:rsidR="005A5F13">
        <w:t xml:space="preserve"> São bons alimentos os sagrados sinais de Deus em Jesus Cristo. </w:t>
      </w:r>
      <w:r w:rsidR="00516123">
        <w:t>No altar</w:t>
      </w:r>
      <w:r w:rsidR="005A5F13">
        <w:t xml:space="preserve"> colhe-se a nova flor </w:t>
      </w:r>
      <w:r w:rsidR="00516123">
        <w:t xml:space="preserve">que </w:t>
      </w:r>
      <w:r w:rsidR="005A5F13">
        <w:t xml:space="preserve">efundiu o bom perfume da Ressurreição de Jesus. </w:t>
      </w:r>
      <w:r w:rsidR="00516123">
        <w:lastRenderedPageBreak/>
        <w:t>Colh</w:t>
      </w:r>
      <w:r w:rsidR="005A5F13">
        <w:t xml:space="preserve">e-se </w:t>
      </w:r>
      <w:r w:rsidR="00516123">
        <w:t xml:space="preserve">também </w:t>
      </w:r>
      <w:r w:rsidR="005A5F13">
        <w:t>o amor, a caridade em vista da vida eterna. Pode-se colher a rosa, isto é o sangue do Corpo do Senhor</w:t>
      </w:r>
      <w:r w:rsidR="005A5F13">
        <w:rPr>
          <w:rStyle w:val="Refdenotaderodap"/>
        </w:rPr>
        <w:footnoteReference w:id="2"/>
      </w:r>
      <w:r w:rsidR="005A5F13">
        <w:t xml:space="preserve">. </w:t>
      </w:r>
    </w:p>
    <w:p w14:paraId="4703FAD1" w14:textId="77777777" w:rsidR="005A5F13" w:rsidRDefault="005A5F13" w:rsidP="001A46DC">
      <w:pPr>
        <w:jc w:val="both"/>
      </w:pPr>
      <w:r>
        <w:tab/>
        <w:t xml:space="preserve">As Sagradas Escrituras. </w:t>
      </w:r>
    </w:p>
    <w:p w14:paraId="13D5DD02" w14:textId="6E20A3F3" w:rsidR="006A3A6A" w:rsidRDefault="005A5F13" w:rsidP="001A46DC">
      <w:pPr>
        <w:jc w:val="both"/>
      </w:pPr>
      <w:r>
        <w:tab/>
        <w:t xml:space="preserve">Santo Ambrósio </w:t>
      </w:r>
      <w:r w:rsidR="00516123">
        <w:t xml:space="preserve">também </w:t>
      </w:r>
      <w:r>
        <w:t>tinha presente as Sagradas Escrituras como bons alimentos que as chamava</w:t>
      </w:r>
      <w:r w:rsidR="00044482">
        <w:t>m</w:t>
      </w:r>
      <w:r>
        <w:t xml:space="preserve"> de Escrituras celestes, nas quais nos alimentamos com uma leitura cotidiana, encontrando nelas o nutrimento e restauração quando meditamos e atuamos o texto sagrado em nossas </w:t>
      </w:r>
      <w:r w:rsidR="00516123">
        <w:t>existências</w:t>
      </w:r>
      <w:r>
        <w:t>, quando fazemos carne também a Palavra de Deus em nossas vidas pela sua Palavra e pelo seu corpo, pelo pão consagrado</w:t>
      </w:r>
      <w:r>
        <w:rPr>
          <w:rStyle w:val="Refdenotaderodap"/>
        </w:rPr>
        <w:footnoteReference w:id="3"/>
      </w:r>
      <w:r w:rsidR="006A3A6A">
        <w:t>.</w:t>
      </w:r>
    </w:p>
    <w:p w14:paraId="2E080618" w14:textId="77777777" w:rsidR="006A3A6A" w:rsidRDefault="006A3A6A" w:rsidP="001A46DC">
      <w:pPr>
        <w:jc w:val="both"/>
      </w:pPr>
      <w:r>
        <w:tab/>
        <w:t>A eucaristia regenera o ser humano.</w:t>
      </w:r>
    </w:p>
    <w:p w14:paraId="2D364F1D" w14:textId="269A28B9" w:rsidR="004B7A71" w:rsidRDefault="006A3A6A" w:rsidP="001A46DC">
      <w:pPr>
        <w:jc w:val="both"/>
      </w:pPr>
      <w:r>
        <w:tab/>
        <w:t>Santo Atanásio</w:t>
      </w:r>
      <w:r w:rsidR="00516123">
        <w:t>, Bispo de Alexandria, século IV</w:t>
      </w:r>
      <w:r>
        <w:t xml:space="preserve"> afirmava que a eucaristia em Jesus Cristo coloca a bondade do Pai, dando-nos a vida nova aos mortais, a medicina da graça por meio do Espírito Santo. Desta forma no l</w:t>
      </w:r>
      <w:r w:rsidR="00516123">
        <w:t>u</w:t>
      </w:r>
      <w:r>
        <w:t xml:space="preserve">gar da corrupção, a eucaristia reveste o ser humano de incorruptibilidade, no lugar da fome, está a saciedade do pão descido do céu. </w:t>
      </w:r>
      <w:r w:rsidR="00E03834">
        <w:t>O Pai pelo seu Filho que se faz alimento para nós e em unidade com o Espírito Santo d</w:t>
      </w:r>
      <w:r w:rsidR="00E60F66">
        <w:t>ão</w:t>
      </w:r>
      <w:r w:rsidR="00E03834">
        <w:t xml:space="preserve"> força</w:t>
      </w:r>
      <w:r w:rsidR="0080370D">
        <w:t>s</w:t>
      </w:r>
      <w:r w:rsidR="00E03834">
        <w:t xml:space="preserve"> para perseverar neste mundo em vista da glória de Deus em Jesus Cristo</w:t>
      </w:r>
      <w:r w:rsidR="00E03834">
        <w:rPr>
          <w:rStyle w:val="Refdenotaderodap"/>
        </w:rPr>
        <w:footnoteReference w:id="4"/>
      </w:r>
      <w:r w:rsidR="004B7A71">
        <w:t>.</w:t>
      </w:r>
    </w:p>
    <w:p w14:paraId="4E7DF111" w14:textId="34463230" w:rsidR="00792AA4" w:rsidRDefault="004B7A71" w:rsidP="001A46DC">
      <w:pPr>
        <w:jc w:val="both"/>
      </w:pPr>
      <w:r>
        <w:tab/>
      </w:r>
      <w:r w:rsidR="00792AA4">
        <w:t>Jesus Cristo instituiu a Eucaristia</w:t>
      </w:r>
      <w:r w:rsidR="00E54770">
        <w:t xml:space="preserve">: tomar do pão. </w:t>
      </w:r>
    </w:p>
    <w:p w14:paraId="76395AE4" w14:textId="29CEDE8B" w:rsidR="00E54770" w:rsidRDefault="00792AA4" w:rsidP="001A46DC">
      <w:pPr>
        <w:jc w:val="both"/>
      </w:pPr>
      <w:r>
        <w:tab/>
        <w:t xml:space="preserve">Santo </w:t>
      </w:r>
      <w:proofErr w:type="spellStart"/>
      <w:r>
        <w:t>Efrém</w:t>
      </w:r>
      <w:proofErr w:type="spellEnd"/>
      <w:r>
        <w:t xml:space="preserve"> Sírio</w:t>
      </w:r>
      <w:r w:rsidR="00516123">
        <w:t>, teólogo do século IV</w:t>
      </w:r>
      <w:r>
        <w:t xml:space="preserve"> seguiu os santos evangelhos no sentido de que Jesus tomou em suas mãos um pão ordinário, o abençoou, o santificou em nome do Pai e no nome do Espírito Santo: o partiu e o distribuiu para cada um dos discípulos na sua benigna bondade</w:t>
      </w:r>
      <w:r w:rsidR="00636A75">
        <w:t xml:space="preserve">. Ele chamou o pão o seu corpo vivo e o encheu de si e do Espírito Santo. Ele disse: tomai e comei </w:t>
      </w:r>
      <w:proofErr w:type="gramStart"/>
      <w:r w:rsidR="00636A75">
        <w:t>todos vós</w:t>
      </w:r>
      <w:proofErr w:type="gramEnd"/>
      <w:r w:rsidR="00044482">
        <w:t xml:space="preserve"> (cfr. </w:t>
      </w:r>
      <w:proofErr w:type="spellStart"/>
      <w:r w:rsidR="00044482">
        <w:t>Mt</w:t>
      </w:r>
      <w:proofErr w:type="spellEnd"/>
      <w:r w:rsidR="00044482">
        <w:t xml:space="preserve"> 26,27)</w:t>
      </w:r>
      <w:r w:rsidR="00636A75">
        <w:t>. Ele quis dizer que aquele não era mais pão, mas o seu corpo</w:t>
      </w:r>
      <w:r w:rsidR="00E54770">
        <w:rPr>
          <w:rStyle w:val="Refdenotaderodap"/>
        </w:rPr>
        <w:footnoteReference w:id="5"/>
      </w:r>
      <w:r w:rsidR="00636A75">
        <w:t>. Quem o come está em comunhão com Deus e com as pessoas.</w:t>
      </w:r>
    </w:p>
    <w:p w14:paraId="6D283999" w14:textId="72DEB113" w:rsidR="00E54770" w:rsidRDefault="00E54770" w:rsidP="001A46DC">
      <w:pPr>
        <w:jc w:val="both"/>
      </w:pPr>
      <w:r>
        <w:tab/>
        <w:t xml:space="preserve">Tomar do Cálice. </w:t>
      </w:r>
    </w:p>
    <w:p w14:paraId="4C0BADCC" w14:textId="116A6C8E" w:rsidR="00E54770" w:rsidRDefault="00E54770" w:rsidP="001A46DC">
      <w:pPr>
        <w:jc w:val="both"/>
      </w:pPr>
      <w:r>
        <w:tab/>
        <w:t xml:space="preserve">Santo </w:t>
      </w:r>
      <w:proofErr w:type="spellStart"/>
      <w:r>
        <w:t>Efrém</w:t>
      </w:r>
      <w:proofErr w:type="spellEnd"/>
      <w:r>
        <w:t xml:space="preserve"> também teve presente a ação seguinte do pão, que era Jesus. Ele tomou o cálice com vinho, o cálice da salvação e disse que era o seu sangue, derramado para todos eles</w:t>
      </w:r>
      <w:r w:rsidR="00516123">
        <w:t xml:space="preserve"> e pela humanidade</w:t>
      </w:r>
      <w:r>
        <w:t>. Tudo deveria ser feito em memória de Jesus</w:t>
      </w:r>
      <w:r w:rsidR="00044482">
        <w:t xml:space="preserve"> (cfr. </w:t>
      </w:r>
      <w:r w:rsidR="00006510">
        <w:t>1 Cor 11,25</w:t>
      </w:r>
      <w:r w:rsidR="00044482">
        <w:t>)</w:t>
      </w:r>
      <w:r>
        <w:t xml:space="preserve">. Todos beberam um após o outro. Desta forma Ele queria afirmar que na comunidade, Igreja onde as pessoas se reuniriam em nome de </w:t>
      </w:r>
      <w:r>
        <w:lastRenderedPageBreak/>
        <w:t>Jesus, em qualquer parte da terra, fariam em sua memória aquilo que Ele fez de comer o seu corpo e beber o seu sangue que são a Antiga e a Nova Aliança</w:t>
      </w:r>
      <w:r w:rsidR="00516123">
        <w:t>s</w:t>
      </w:r>
      <w:r>
        <w:rPr>
          <w:rStyle w:val="Refdenotaderodap"/>
        </w:rPr>
        <w:footnoteReference w:id="6"/>
      </w:r>
      <w:r>
        <w:t xml:space="preserve">. </w:t>
      </w:r>
      <w:r w:rsidR="00636A75">
        <w:t xml:space="preserve"> </w:t>
      </w:r>
      <w:r w:rsidR="003C6792">
        <w:t xml:space="preserve"> </w:t>
      </w:r>
    </w:p>
    <w:p w14:paraId="3D045338" w14:textId="77777777" w:rsidR="00DF0D05" w:rsidRDefault="00E54770" w:rsidP="001A46DC">
      <w:pPr>
        <w:jc w:val="both"/>
      </w:pPr>
      <w:r>
        <w:tab/>
      </w:r>
      <w:r w:rsidR="00DF0D05">
        <w:t xml:space="preserve">A eucaristia como preparação à vida eterna. </w:t>
      </w:r>
    </w:p>
    <w:p w14:paraId="4DDBB26E" w14:textId="5F1448C7" w:rsidR="005633A7" w:rsidRDefault="00DF0D05" w:rsidP="001A46DC">
      <w:pPr>
        <w:jc w:val="both"/>
      </w:pPr>
      <w:r>
        <w:tab/>
        <w:t>São Basílio de Cesareia, o Grande</w:t>
      </w:r>
      <w:r w:rsidR="00516123">
        <w:t>, bispo de Cesareia, século IV</w:t>
      </w:r>
      <w:r>
        <w:t xml:space="preserve"> disse que a participação ao corpo e ao sangue de Cristo é condição essencial</w:t>
      </w:r>
      <w:r w:rsidR="00006510">
        <w:t xml:space="preserve"> preparatória em vista d</w:t>
      </w:r>
      <w:r>
        <w:t xml:space="preserve">a vida eterna. Jesus tinha dito que </w:t>
      </w:r>
      <w:r w:rsidR="00516123">
        <w:t xml:space="preserve">se </w:t>
      </w:r>
      <w:r>
        <w:t>as pessoas não comiam a carne do Filho do Homem e não bebiam o seu sangue, não teriam a vida neles. Mas quem come a sua carne e bebe o seu sangue, tem a vida eterna</w:t>
      </w:r>
      <w:r w:rsidR="005633A7">
        <w:t xml:space="preserve"> (cfr. </w:t>
      </w:r>
      <w:proofErr w:type="spellStart"/>
      <w:r w:rsidR="005633A7">
        <w:t>Jo</w:t>
      </w:r>
      <w:proofErr w:type="spellEnd"/>
      <w:r w:rsidR="005633A7">
        <w:t xml:space="preserve"> 6,53)</w:t>
      </w:r>
      <w:r>
        <w:t xml:space="preserve">. </w:t>
      </w:r>
    </w:p>
    <w:p w14:paraId="0E43CCBF" w14:textId="7B6F4A6F" w:rsidR="001A46DC" w:rsidRDefault="005633A7" w:rsidP="005633A7">
      <w:pPr>
        <w:ind w:firstLine="708"/>
        <w:jc w:val="both"/>
      </w:pPr>
      <w:r>
        <w:t xml:space="preserve">São Basílio colocou o motivo pelo qual a pessoa deve comer o corpo e beber o sangue do Senhor </w:t>
      </w:r>
      <w:r w:rsidR="00072CDF">
        <w:t xml:space="preserve">pois este </w:t>
      </w:r>
      <w:r>
        <w:t xml:space="preserve">reverte </w:t>
      </w:r>
      <w:r w:rsidR="00A52135">
        <w:t>à</w:t>
      </w:r>
      <w:r>
        <w:t xml:space="preserve"> memória da obediência do Senhor até a morte, a fim de que aqueles que vivem não vivam mais para si mesmos, mas </w:t>
      </w:r>
      <w:proofErr w:type="gramStart"/>
      <w:r>
        <w:t>para Aquele</w:t>
      </w:r>
      <w:proofErr w:type="gramEnd"/>
      <w:r>
        <w:t xml:space="preserve"> que morreu e ressuscitou por eles (cfr. Cor 5,15)</w:t>
      </w:r>
      <w:r>
        <w:rPr>
          <w:rStyle w:val="Refdenotaderodap"/>
        </w:rPr>
        <w:footnoteReference w:id="7"/>
      </w:r>
      <w:r w:rsidR="00A52135">
        <w:t>.</w:t>
      </w:r>
      <w:r>
        <w:t xml:space="preserve"> </w:t>
      </w:r>
      <w:r w:rsidR="00883279">
        <w:t xml:space="preserve">São Basílio disse </w:t>
      </w:r>
      <w:r>
        <w:t xml:space="preserve">em outras palavras </w:t>
      </w:r>
      <w:r w:rsidR="000A1351">
        <w:t xml:space="preserve">que as pessoas que comungarem da eucaristia </w:t>
      </w:r>
      <w:r>
        <w:t xml:space="preserve">tenham a vida eterna por Jesus Cristo, na glória de Deus Pai e na comunhão do Espírito Santo. </w:t>
      </w:r>
    </w:p>
    <w:sectPr w:rsidR="001A4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BEB4" w14:textId="77777777" w:rsidR="006B371C" w:rsidRDefault="006B371C" w:rsidP="003C6792">
      <w:pPr>
        <w:spacing w:after="0" w:line="240" w:lineRule="auto"/>
      </w:pPr>
      <w:r>
        <w:separator/>
      </w:r>
    </w:p>
  </w:endnote>
  <w:endnote w:type="continuationSeparator" w:id="0">
    <w:p w14:paraId="09134C47" w14:textId="77777777" w:rsidR="006B371C" w:rsidRDefault="006B371C" w:rsidP="003C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6225" w14:textId="77777777" w:rsidR="006B371C" w:rsidRDefault="006B371C" w:rsidP="003C6792">
      <w:pPr>
        <w:spacing w:after="0" w:line="240" w:lineRule="auto"/>
      </w:pPr>
      <w:r>
        <w:separator/>
      </w:r>
    </w:p>
  </w:footnote>
  <w:footnote w:type="continuationSeparator" w:id="0">
    <w:p w14:paraId="7BE47C09" w14:textId="77777777" w:rsidR="006B371C" w:rsidRDefault="006B371C" w:rsidP="003C6792">
      <w:pPr>
        <w:spacing w:after="0" w:line="240" w:lineRule="auto"/>
      </w:pPr>
      <w:r>
        <w:continuationSeparator/>
      </w:r>
    </w:p>
  </w:footnote>
  <w:footnote w:id="1">
    <w:p w14:paraId="5F13ABFC" w14:textId="1943717B" w:rsidR="003C6792" w:rsidRDefault="003C6792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proofErr w:type="spellStart"/>
      <w:r>
        <w:t>Tertulliano</w:t>
      </w:r>
      <w:proofErr w:type="spellEnd"/>
      <w:r>
        <w:t xml:space="preserve">, </w:t>
      </w:r>
      <w:r w:rsidRPr="005676C6">
        <w:rPr>
          <w:i/>
          <w:iCs/>
        </w:rPr>
        <w:t xml:space="preserve">La Corona, cap. 3; </w:t>
      </w:r>
      <w:proofErr w:type="spellStart"/>
      <w:r w:rsidR="00E16E08" w:rsidRPr="005676C6">
        <w:rPr>
          <w:i/>
          <w:iCs/>
        </w:rPr>
        <w:t>Kroymann</w:t>
      </w:r>
      <w:proofErr w:type="spellEnd"/>
      <w:r w:rsidR="00E16E08" w:rsidRPr="005676C6">
        <w:rPr>
          <w:i/>
          <w:iCs/>
        </w:rPr>
        <w:t>, CSEL, 70, pg. 158; 79A-80A.</w:t>
      </w:r>
      <w:r w:rsidR="00E16E08">
        <w:t xml:space="preserve"> In: Gerardo </w:t>
      </w:r>
      <w:proofErr w:type="spellStart"/>
      <w:r w:rsidR="00E16E08">
        <w:t>di</w:t>
      </w:r>
      <w:proofErr w:type="spellEnd"/>
      <w:r w:rsidR="00E16E08">
        <w:t xml:space="preserve"> </w:t>
      </w:r>
      <w:proofErr w:type="spellStart"/>
      <w:r w:rsidR="00E16E08">
        <w:t>Nola</w:t>
      </w:r>
      <w:proofErr w:type="spellEnd"/>
      <w:r w:rsidR="00E16E08">
        <w:t xml:space="preserve">. </w:t>
      </w:r>
      <w:r w:rsidR="00E16E08" w:rsidRPr="005676C6">
        <w:rPr>
          <w:i/>
          <w:iCs/>
        </w:rPr>
        <w:t xml:space="preserve">Monumenta </w:t>
      </w:r>
      <w:proofErr w:type="spellStart"/>
      <w:r w:rsidR="00E16E08" w:rsidRPr="005676C6">
        <w:rPr>
          <w:i/>
          <w:iCs/>
        </w:rPr>
        <w:t>Eucharistica</w:t>
      </w:r>
      <w:proofErr w:type="spellEnd"/>
      <w:r w:rsidR="00E16E08" w:rsidRPr="005676C6">
        <w:rPr>
          <w:i/>
          <w:iCs/>
        </w:rPr>
        <w:t xml:space="preserve">. La </w:t>
      </w:r>
      <w:proofErr w:type="spellStart"/>
      <w:r w:rsidR="00E16E08" w:rsidRPr="005676C6">
        <w:rPr>
          <w:i/>
          <w:iCs/>
        </w:rPr>
        <w:t>testimonianza</w:t>
      </w:r>
      <w:proofErr w:type="spellEnd"/>
      <w:r w:rsidR="00E16E08" w:rsidRPr="005676C6">
        <w:rPr>
          <w:i/>
          <w:iCs/>
        </w:rPr>
        <w:t xml:space="preserve"> </w:t>
      </w:r>
      <w:proofErr w:type="gramStart"/>
      <w:r w:rsidR="00E16E08" w:rsidRPr="005676C6">
        <w:rPr>
          <w:i/>
          <w:iCs/>
        </w:rPr>
        <w:t>dei Pari</w:t>
      </w:r>
      <w:proofErr w:type="gramEnd"/>
      <w:r w:rsidR="00E16E08" w:rsidRPr="005676C6">
        <w:rPr>
          <w:i/>
          <w:iCs/>
        </w:rPr>
        <w:t xml:space="preserve"> </w:t>
      </w:r>
      <w:proofErr w:type="spellStart"/>
      <w:r w:rsidR="00E16E08" w:rsidRPr="005676C6">
        <w:rPr>
          <w:i/>
          <w:iCs/>
        </w:rPr>
        <w:t>della</w:t>
      </w:r>
      <w:proofErr w:type="spellEnd"/>
      <w:r w:rsidR="00E16E08" w:rsidRPr="005676C6">
        <w:rPr>
          <w:i/>
          <w:iCs/>
        </w:rPr>
        <w:t xml:space="preserve"> Chiesa, Vol. 1, Sec. I-IV.</w:t>
      </w:r>
      <w:r w:rsidR="00E16E08">
        <w:t xml:space="preserve"> </w:t>
      </w:r>
      <w:proofErr w:type="spellStart"/>
      <w:r w:rsidR="00E16E08">
        <w:t>Edizioni</w:t>
      </w:r>
      <w:proofErr w:type="spellEnd"/>
      <w:r w:rsidR="00E16E08">
        <w:t xml:space="preserve"> </w:t>
      </w:r>
      <w:proofErr w:type="spellStart"/>
      <w:r w:rsidR="00E16E08">
        <w:t>Hehoniane</w:t>
      </w:r>
      <w:proofErr w:type="spellEnd"/>
      <w:r w:rsidR="00E16E08">
        <w:t xml:space="preserve">, Roma 1994, pg. 133.   </w:t>
      </w:r>
    </w:p>
  </w:footnote>
  <w:footnote w:id="2">
    <w:p w14:paraId="16F3A718" w14:textId="14F8535B" w:rsidR="005A5F13" w:rsidRDefault="005A5F13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proofErr w:type="spellStart"/>
      <w:r>
        <w:t>Ambrosio</w:t>
      </w:r>
      <w:proofErr w:type="spellEnd"/>
      <w:r>
        <w:t xml:space="preserve">. </w:t>
      </w:r>
      <w:r w:rsidR="006A3A6A" w:rsidRPr="005676C6">
        <w:rPr>
          <w:i/>
          <w:iCs/>
        </w:rPr>
        <w:t xml:space="preserve">Salmo 118. Sermone 14,2; </w:t>
      </w:r>
      <w:proofErr w:type="spellStart"/>
      <w:r w:rsidR="006A3A6A" w:rsidRPr="005676C6">
        <w:rPr>
          <w:i/>
          <w:iCs/>
        </w:rPr>
        <w:t>Petschenig</w:t>
      </w:r>
      <w:proofErr w:type="spellEnd"/>
      <w:r w:rsidR="006A3A6A" w:rsidRPr="005676C6">
        <w:rPr>
          <w:i/>
          <w:iCs/>
        </w:rPr>
        <w:t>, CSEL, 62,299.194; PL 15, 1380C-D.</w:t>
      </w:r>
      <w:r w:rsidR="006A3A6A">
        <w:t xml:space="preserve"> In: </w:t>
      </w:r>
      <w:r w:rsidR="006A3A6A" w:rsidRPr="005676C6">
        <w:rPr>
          <w:i/>
          <w:iCs/>
        </w:rPr>
        <w:t>Idem,</w:t>
      </w:r>
      <w:r w:rsidR="006A3A6A">
        <w:t xml:space="preserve"> pg. 424. </w:t>
      </w:r>
    </w:p>
  </w:footnote>
  <w:footnote w:id="3">
    <w:p w14:paraId="5523C950" w14:textId="19E8D652" w:rsidR="005A5F13" w:rsidRDefault="005A5F1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A3A6A">
        <w:t xml:space="preserve">Cfr. </w:t>
      </w:r>
      <w:r w:rsidR="006A3A6A" w:rsidRPr="005676C6">
        <w:rPr>
          <w:i/>
          <w:iCs/>
        </w:rPr>
        <w:t>Idem.</w:t>
      </w:r>
      <w:r w:rsidR="006A3A6A">
        <w:t xml:space="preserve"> </w:t>
      </w:r>
    </w:p>
  </w:footnote>
  <w:footnote w:id="4">
    <w:p w14:paraId="2FC7AED2" w14:textId="3D40F965" w:rsidR="00E03834" w:rsidRDefault="00E03834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proofErr w:type="spellStart"/>
      <w:r>
        <w:t>Ambrosio</w:t>
      </w:r>
      <w:proofErr w:type="spellEnd"/>
      <w:r>
        <w:t>.</w:t>
      </w:r>
      <w:r w:rsidRPr="005676C6">
        <w:rPr>
          <w:i/>
          <w:iCs/>
        </w:rPr>
        <w:t xml:space="preserve"> </w:t>
      </w:r>
      <w:proofErr w:type="spellStart"/>
      <w:r w:rsidRPr="005676C6">
        <w:rPr>
          <w:i/>
          <w:iCs/>
        </w:rPr>
        <w:t>Lettere</w:t>
      </w:r>
      <w:proofErr w:type="spellEnd"/>
      <w:r w:rsidRPr="005676C6">
        <w:rPr>
          <w:i/>
          <w:iCs/>
        </w:rPr>
        <w:t xml:space="preserve"> </w:t>
      </w:r>
      <w:proofErr w:type="spellStart"/>
      <w:r w:rsidRPr="005676C6">
        <w:rPr>
          <w:i/>
          <w:iCs/>
        </w:rPr>
        <w:t>festali</w:t>
      </w:r>
      <w:proofErr w:type="spellEnd"/>
      <w:r w:rsidRPr="005676C6">
        <w:rPr>
          <w:i/>
          <w:iCs/>
        </w:rPr>
        <w:t xml:space="preserve">, </w:t>
      </w:r>
      <w:proofErr w:type="spellStart"/>
      <w:r w:rsidRPr="005676C6">
        <w:rPr>
          <w:i/>
          <w:iCs/>
        </w:rPr>
        <w:t>Lett</w:t>
      </w:r>
      <w:proofErr w:type="spellEnd"/>
      <w:r w:rsidRPr="005676C6">
        <w:rPr>
          <w:i/>
          <w:iCs/>
        </w:rPr>
        <w:t>. 7,4-10; PG 26, 1392C-1396CA.</w:t>
      </w:r>
      <w:r>
        <w:t xml:space="preserve"> In: </w:t>
      </w:r>
      <w:r w:rsidRPr="005676C6">
        <w:rPr>
          <w:i/>
          <w:iCs/>
        </w:rPr>
        <w:t>Ibidem,</w:t>
      </w:r>
      <w:r>
        <w:t xml:space="preserve"> pg. 286. </w:t>
      </w:r>
    </w:p>
  </w:footnote>
  <w:footnote w:id="5">
    <w:p w14:paraId="63C21257" w14:textId="1B051B70" w:rsidR="00E54770" w:rsidRDefault="00E54770">
      <w:pPr>
        <w:pStyle w:val="Textodenotaderodap"/>
      </w:pPr>
      <w:r>
        <w:rPr>
          <w:rStyle w:val="Refdenotaderodap"/>
        </w:rPr>
        <w:footnoteRef/>
      </w:r>
      <w:r>
        <w:t xml:space="preserve"> Cfr. S. Efrem Siro. </w:t>
      </w:r>
      <w:proofErr w:type="spellStart"/>
      <w:r w:rsidRPr="005676C6">
        <w:rPr>
          <w:i/>
          <w:iCs/>
        </w:rPr>
        <w:t>Sermoni</w:t>
      </w:r>
      <w:proofErr w:type="spellEnd"/>
      <w:r w:rsidRPr="005676C6">
        <w:rPr>
          <w:i/>
          <w:iCs/>
        </w:rPr>
        <w:t xml:space="preserve"> </w:t>
      </w:r>
      <w:proofErr w:type="spellStart"/>
      <w:r w:rsidRPr="005676C6">
        <w:rPr>
          <w:i/>
          <w:iCs/>
        </w:rPr>
        <w:t>nella</w:t>
      </w:r>
      <w:proofErr w:type="spellEnd"/>
      <w:r w:rsidRPr="005676C6">
        <w:rPr>
          <w:i/>
          <w:iCs/>
        </w:rPr>
        <w:t xml:space="preserve"> </w:t>
      </w:r>
      <w:proofErr w:type="spellStart"/>
      <w:r w:rsidRPr="005676C6">
        <w:rPr>
          <w:i/>
          <w:iCs/>
        </w:rPr>
        <w:t>Settimana</w:t>
      </w:r>
      <w:proofErr w:type="spellEnd"/>
      <w:r w:rsidRPr="005676C6">
        <w:rPr>
          <w:i/>
          <w:iCs/>
        </w:rPr>
        <w:t xml:space="preserve"> Santa, 4, 3-7; Lamy, I, 414-428.</w:t>
      </w:r>
      <w:r>
        <w:t xml:space="preserve"> In:</w:t>
      </w:r>
      <w:r w:rsidRPr="005676C6">
        <w:rPr>
          <w:i/>
          <w:iCs/>
        </w:rPr>
        <w:t xml:space="preserve"> Ibidem,</w:t>
      </w:r>
      <w:r>
        <w:t xml:space="preserve"> </w:t>
      </w:r>
      <w:proofErr w:type="spellStart"/>
      <w:r>
        <w:t>pgs</w:t>
      </w:r>
      <w:proofErr w:type="spellEnd"/>
      <w:r>
        <w:t xml:space="preserve"> 328-329. </w:t>
      </w:r>
    </w:p>
  </w:footnote>
  <w:footnote w:id="6">
    <w:p w14:paraId="5372B57F" w14:textId="49254AB9" w:rsidR="00E54770" w:rsidRDefault="00E54770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5676C6">
        <w:rPr>
          <w:i/>
          <w:iCs/>
        </w:rPr>
        <w:t>Idem</w:t>
      </w:r>
      <w:r>
        <w:t>, In</w:t>
      </w:r>
      <w:r w:rsidR="0081460B">
        <w:t>:</w:t>
      </w:r>
      <w:r>
        <w:t xml:space="preserve"> </w:t>
      </w:r>
      <w:r w:rsidRPr="005676C6">
        <w:rPr>
          <w:i/>
          <w:iCs/>
        </w:rPr>
        <w:t>Ibidem,</w:t>
      </w:r>
      <w:r>
        <w:t xml:space="preserve"> </w:t>
      </w:r>
      <w:proofErr w:type="spellStart"/>
      <w:r>
        <w:t>pgs</w:t>
      </w:r>
      <w:proofErr w:type="spellEnd"/>
      <w:r>
        <w:t xml:space="preserve">. 330-331. </w:t>
      </w:r>
    </w:p>
  </w:footnote>
  <w:footnote w:id="7">
    <w:p w14:paraId="0EFC3B1F" w14:textId="4588270D" w:rsidR="005633A7" w:rsidRDefault="005633A7">
      <w:pPr>
        <w:pStyle w:val="Textodenotaderodap"/>
      </w:pPr>
      <w:r>
        <w:rPr>
          <w:rStyle w:val="Refdenotaderodap"/>
        </w:rPr>
        <w:footnoteRef/>
      </w:r>
      <w:r>
        <w:t xml:space="preserve"> Cfr. S. Basílio </w:t>
      </w:r>
      <w:proofErr w:type="spellStart"/>
      <w:r>
        <w:t>il</w:t>
      </w:r>
      <w:proofErr w:type="spellEnd"/>
      <w:r>
        <w:t xml:space="preserve"> Grande</w:t>
      </w:r>
      <w:r w:rsidR="005676C6">
        <w:t>.</w:t>
      </w:r>
      <w:r>
        <w:t xml:space="preserve"> </w:t>
      </w:r>
      <w:proofErr w:type="spellStart"/>
      <w:r w:rsidRPr="005676C6">
        <w:rPr>
          <w:i/>
          <w:iCs/>
        </w:rPr>
        <w:t>Regole</w:t>
      </w:r>
      <w:proofErr w:type="spellEnd"/>
      <w:r w:rsidRPr="005676C6">
        <w:rPr>
          <w:i/>
          <w:iCs/>
        </w:rPr>
        <w:t xml:space="preserve"> </w:t>
      </w:r>
      <w:proofErr w:type="spellStart"/>
      <w:r w:rsidRPr="005676C6">
        <w:rPr>
          <w:i/>
          <w:iCs/>
        </w:rPr>
        <w:t>Morali</w:t>
      </w:r>
      <w:proofErr w:type="spellEnd"/>
      <w:r w:rsidRPr="005676C6">
        <w:rPr>
          <w:i/>
          <w:iCs/>
        </w:rPr>
        <w:t>, 21, 11-4; PG 31, 737C-741</w:t>
      </w:r>
      <w:r w:rsidR="005676C6">
        <w:rPr>
          <w:i/>
          <w:iCs/>
        </w:rPr>
        <w:t>A</w:t>
      </w:r>
      <w:r w:rsidRPr="005676C6">
        <w:rPr>
          <w:i/>
          <w:iCs/>
        </w:rPr>
        <w:t>.</w:t>
      </w:r>
      <w:r>
        <w:t xml:space="preserve"> In:</w:t>
      </w:r>
      <w:r w:rsidRPr="005676C6">
        <w:rPr>
          <w:i/>
          <w:iCs/>
        </w:rPr>
        <w:t xml:space="preserve"> Ibidem,</w:t>
      </w:r>
      <w:r>
        <w:t xml:space="preserve"> </w:t>
      </w:r>
      <w:proofErr w:type="spellStart"/>
      <w:r>
        <w:t>pgs</w:t>
      </w:r>
      <w:proofErr w:type="spellEnd"/>
      <w:r>
        <w:t xml:space="preserve">. 476-477.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DC"/>
    <w:rsid w:val="00006510"/>
    <w:rsid w:val="00014C88"/>
    <w:rsid w:val="00044482"/>
    <w:rsid w:val="00072CDF"/>
    <w:rsid w:val="000A1351"/>
    <w:rsid w:val="001A46DC"/>
    <w:rsid w:val="002612EC"/>
    <w:rsid w:val="003C6792"/>
    <w:rsid w:val="004B7A71"/>
    <w:rsid w:val="004F6F8D"/>
    <w:rsid w:val="00516123"/>
    <w:rsid w:val="00543BC8"/>
    <w:rsid w:val="005633A7"/>
    <w:rsid w:val="005676C6"/>
    <w:rsid w:val="005A5F13"/>
    <w:rsid w:val="005A6DE6"/>
    <w:rsid w:val="005E0B6B"/>
    <w:rsid w:val="00602479"/>
    <w:rsid w:val="00636A75"/>
    <w:rsid w:val="006A3A6A"/>
    <w:rsid w:val="006B371C"/>
    <w:rsid w:val="006D211B"/>
    <w:rsid w:val="00792AA4"/>
    <w:rsid w:val="0080370D"/>
    <w:rsid w:val="0081460B"/>
    <w:rsid w:val="008479B4"/>
    <w:rsid w:val="00851316"/>
    <w:rsid w:val="00883279"/>
    <w:rsid w:val="00A04212"/>
    <w:rsid w:val="00A34909"/>
    <w:rsid w:val="00A52135"/>
    <w:rsid w:val="00A6484D"/>
    <w:rsid w:val="00AB2E4D"/>
    <w:rsid w:val="00AF0C61"/>
    <w:rsid w:val="00B36B91"/>
    <w:rsid w:val="00DC5868"/>
    <w:rsid w:val="00DF0D05"/>
    <w:rsid w:val="00E03834"/>
    <w:rsid w:val="00E16E08"/>
    <w:rsid w:val="00E54770"/>
    <w:rsid w:val="00E60F66"/>
    <w:rsid w:val="00E7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28E0"/>
  <w15:chartTrackingRefBased/>
  <w15:docId w15:val="{0A604553-02B7-4172-A0DD-E790B48F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4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4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4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4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4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4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4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4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4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46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46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46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46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6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46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4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4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4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4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4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46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6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46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4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46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46DC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67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67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67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16E0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6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6B6D-40B6-4CEE-B931-D5F24E08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19</cp:revision>
  <dcterms:created xsi:type="dcterms:W3CDTF">2026-06-02T17:26:00Z</dcterms:created>
  <dcterms:modified xsi:type="dcterms:W3CDTF">2026-06-03T00:51:00Z</dcterms:modified>
</cp:coreProperties>
</file>